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7BE1872" w14:textId="77777777" w:rsidR="00D72336" w:rsidRDefault="001213FF">
      <w:pPr>
        <w:pStyle w:val="Normal1"/>
      </w:pPr>
      <w:bookmarkStart w:id="0" w:name="_GoBack"/>
      <w:bookmarkEnd w:id="0"/>
      <w:r>
        <w:rPr>
          <w:b/>
          <w:sz w:val="30"/>
          <w:szCs w:val="30"/>
        </w:rPr>
        <w:t>Grant Application Form B</w:t>
      </w:r>
    </w:p>
    <w:p w14:paraId="52BCBB7C" w14:textId="77777777" w:rsidR="00D72336" w:rsidRDefault="00D72336">
      <w:pPr>
        <w:pStyle w:val="Normal1"/>
      </w:pPr>
    </w:p>
    <w:p w14:paraId="2D715772" w14:textId="77777777" w:rsidR="00D72336" w:rsidRDefault="001213FF">
      <w:pPr>
        <w:pStyle w:val="Normal1"/>
      </w:pPr>
      <w:r>
        <w:t>Grant Application Form B is for grants whose application timelines -- from initial RFA date to application deadline-- are less than three months.  If a grant qualifies for Form B, application development may begin prior to the approval of Form B by the President’s Council. Grants for less than $100,000 are exempt from this application process.</w:t>
      </w:r>
    </w:p>
    <w:p w14:paraId="70346A42" w14:textId="77777777" w:rsidR="00D72336" w:rsidRDefault="00D72336">
      <w:pPr>
        <w:pStyle w:val="Normal1"/>
      </w:pPr>
    </w:p>
    <w:p w14:paraId="25DD4882" w14:textId="6884DC39" w:rsidR="00D72336" w:rsidRDefault="001213FF">
      <w:pPr>
        <w:pStyle w:val="Normal1"/>
      </w:pPr>
      <w:r>
        <w:t xml:space="preserve">This form submitted by:           </w:t>
      </w:r>
      <w:r w:rsidR="00900AD0">
        <w:t>Pat Henrickson</w:t>
      </w:r>
      <w:r>
        <w:t xml:space="preserve">                                      Date:</w:t>
      </w:r>
      <w:r w:rsidR="00900AD0">
        <w:t xml:space="preserve">  1/26/2017</w:t>
      </w:r>
    </w:p>
    <w:p w14:paraId="353377AC" w14:textId="77777777" w:rsidR="00D72336" w:rsidRDefault="00D72336">
      <w:pPr>
        <w:pStyle w:val="Normal1"/>
      </w:pPr>
    </w:p>
    <w:p w14:paraId="1282D02A" w14:textId="5DF5DA6A" w:rsidR="00D72336" w:rsidRDefault="001213FF">
      <w:pPr>
        <w:pStyle w:val="Normal1"/>
      </w:pPr>
      <w:r>
        <w:t>Name of Grant:</w:t>
      </w:r>
      <w:r w:rsidR="00900AD0">
        <w:t xml:space="preserve">  CA Promise Innovation </w:t>
      </w:r>
      <w:proofErr w:type="gramStart"/>
      <w:r w:rsidR="00900AD0">
        <w:t>Grant  RFA</w:t>
      </w:r>
      <w:proofErr w:type="gramEnd"/>
      <w:r w:rsidR="00900AD0">
        <w:t xml:space="preserve"> 16-041</w:t>
      </w:r>
    </w:p>
    <w:p w14:paraId="3F788418" w14:textId="77777777" w:rsidR="00D72336" w:rsidRDefault="00D72336">
      <w:pPr>
        <w:pStyle w:val="Normal1"/>
      </w:pPr>
    </w:p>
    <w:p w14:paraId="0D706656" w14:textId="3E9B6C3E" w:rsidR="00D72336" w:rsidRDefault="001213FF">
      <w:pPr>
        <w:pStyle w:val="Normal1"/>
      </w:pPr>
      <w:r>
        <w:t>Original grant posted (available) date:</w:t>
      </w:r>
      <w:r w:rsidR="00900AD0">
        <w:t xml:space="preserve">  12/16/2017</w:t>
      </w:r>
    </w:p>
    <w:p w14:paraId="2C12AE03" w14:textId="77777777" w:rsidR="00D72336" w:rsidRDefault="00D72336">
      <w:pPr>
        <w:pStyle w:val="Normal1"/>
      </w:pPr>
    </w:p>
    <w:p w14:paraId="63AA687A" w14:textId="3BC90C3E" w:rsidR="00D72336" w:rsidRDefault="001213FF">
      <w:pPr>
        <w:pStyle w:val="Normal1"/>
      </w:pPr>
      <w:r>
        <w:t>Submission deadline:</w:t>
      </w:r>
      <w:r>
        <w:tab/>
      </w:r>
      <w:r w:rsidR="00900AD0">
        <w:t>2/3/2017</w:t>
      </w:r>
      <w:r>
        <w:tab/>
      </w:r>
      <w:r>
        <w:tab/>
      </w:r>
      <w:r>
        <w:tab/>
      </w:r>
      <w:r>
        <w:tab/>
        <w:t xml:space="preserve">Award date: </w:t>
      </w:r>
      <w:r w:rsidR="00900AD0">
        <w:t>3/1/2017</w:t>
      </w:r>
    </w:p>
    <w:p w14:paraId="1B7703CA" w14:textId="77777777" w:rsidR="00D72336" w:rsidRDefault="00D72336">
      <w:pPr>
        <w:pStyle w:val="Normal1"/>
      </w:pPr>
    </w:p>
    <w:p w14:paraId="3FD90C56" w14:textId="0FB57021" w:rsidR="00D72336" w:rsidRDefault="001213FF">
      <w:pPr>
        <w:pStyle w:val="Normal1"/>
      </w:pPr>
      <w:r>
        <w:t xml:space="preserve">Grant authors: </w:t>
      </w:r>
      <w:r w:rsidR="00900AD0">
        <w:t>Pat Henrickson, Marlene Bumgarner, Karen Warren</w:t>
      </w:r>
    </w:p>
    <w:p w14:paraId="04BB22AD" w14:textId="77777777" w:rsidR="00D72336" w:rsidRDefault="00D72336">
      <w:pPr>
        <w:pStyle w:val="Normal1"/>
      </w:pPr>
    </w:p>
    <w:p w14:paraId="39B6EB13" w14:textId="032A298F" w:rsidR="00D72336" w:rsidRDefault="001213FF">
      <w:pPr>
        <w:pStyle w:val="Normal1"/>
      </w:pPr>
      <w:r>
        <w:t>Grant Amount requested:</w:t>
      </w:r>
      <w:r w:rsidR="00900AD0">
        <w:t xml:space="preserve">  $750,000</w:t>
      </w:r>
    </w:p>
    <w:p w14:paraId="39650D79" w14:textId="77777777" w:rsidR="00D72336" w:rsidRDefault="00D72336">
      <w:pPr>
        <w:pStyle w:val="Normal1"/>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77501A6A" w14:textId="77777777">
        <w:tc>
          <w:tcPr>
            <w:tcW w:w="9360" w:type="dxa"/>
            <w:tcMar>
              <w:top w:w="43" w:type="dxa"/>
              <w:left w:w="43" w:type="dxa"/>
              <w:bottom w:w="43" w:type="dxa"/>
              <w:right w:w="43" w:type="dxa"/>
            </w:tcMar>
          </w:tcPr>
          <w:p w14:paraId="74C29F10" w14:textId="716E8B25" w:rsidR="00D72336" w:rsidRDefault="001213FF" w:rsidP="002D6839">
            <w:pPr>
              <w:pStyle w:val="Normal1"/>
              <w:numPr>
                <w:ilvl w:val="0"/>
                <w:numId w:val="3"/>
              </w:numPr>
              <w:rPr>
                <w:b/>
              </w:rPr>
            </w:pPr>
            <w:r>
              <w:rPr>
                <w:b/>
              </w:rPr>
              <w:t>Goals and intended outcomes of the grant:</w:t>
            </w:r>
          </w:p>
          <w:p w14:paraId="004BA7BC" w14:textId="1E9C03E5" w:rsidR="002D6839" w:rsidRDefault="002D6839" w:rsidP="002D6839">
            <w:pPr>
              <w:pStyle w:val="Normal1"/>
              <w:ind w:left="825"/>
            </w:pPr>
            <w:r>
              <w:rPr>
                <w:b/>
              </w:rPr>
              <w:t>These are the goals and intended outcomes as stated in the RFA.</w:t>
            </w:r>
          </w:p>
          <w:p w14:paraId="33EE11B6" w14:textId="77777777" w:rsidR="00856531" w:rsidRDefault="00856531">
            <w:pPr>
              <w:pStyle w:val="Normal1"/>
            </w:pPr>
            <w:r>
              <w:t xml:space="preserve">Goals:  </w:t>
            </w:r>
          </w:p>
          <w:p w14:paraId="695D2D49" w14:textId="142608CD" w:rsidR="00D72336" w:rsidRDefault="00856531" w:rsidP="00856531">
            <w:pPr>
              <w:pStyle w:val="Normal1"/>
              <w:numPr>
                <w:ilvl w:val="0"/>
                <w:numId w:val="1"/>
              </w:numPr>
            </w:pPr>
            <w:r>
              <w:t>Partner with one or more school districts to establish an Early Commitment to College Program.</w:t>
            </w:r>
          </w:p>
          <w:p w14:paraId="1F3A73C8" w14:textId="2C3833DB" w:rsidR="00856531" w:rsidRDefault="00856531" w:rsidP="00856531">
            <w:pPr>
              <w:pStyle w:val="Normal1"/>
              <w:numPr>
                <w:ilvl w:val="0"/>
                <w:numId w:val="1"/>
              </w:numPr>
            </w:pPr>
            <w:r>
              <w:t xml:space="preserve">Partner with one or more school districts to support and improve high school student preparation for college and reduce postsecondary remediation through practices that may include, but not limited to *small learning communities, *concurrent/dual enrollment, *informational outreach activities that encourage high </w:t>
            </w:r>
            <w:r w:rsidR="0044351C">
              <w:t>school students to complete college preparatory courses, particularly in English and math, *Support services for high school students, *Early and sustained support for maximizing local state, and federal financial aid.</w:t>
            </w:r>
          </w:p>
          <w:p w14:paraId="4147C9B8" w14:textId="328BA222" w:rsidR="0044351C" w:rsidRDefault="0044351C" w:rsidP="00856531">
            <w:pPr>
              <w:pStyle w:val="Normal1"/>
              <w:numPr>
                <w:ilvl w:val="0"/>
                <w:numId w:val="1"/>
              </w:numPr>
            </w:pPr>
            <w:r>
              <w:t>Utilize evidence-based placement and student assessment indicators at the community college district that include multiple measures of student performance, including grades in high school courses, overall grade point averages, results from common assessments, and input from counselors.</w:t>
            </w:r>
          </w:p>
          <w:p w14:paraId="31D7BDA8" w14:textId="53FAB2AA" w:rsidR="0044351C" w:rsidRDefault="0044351C" w:rsidP="00856531">
            <w:pPr>
              <w:pStyle w:val="Normal1"/>
              <w:numPr>
                <w:ilvl w:val="0"/>
                <w:numId w:val="1"/>
              </w:numPr>
            </w:pPr>
            <w:r>
              <w:t>Provide students who are enrolled at the community college district with access to courses, including, but not limited to, priority registration, and allowing them to register for a full academic year of courses at once, in order to keep them on track to graduate, transfer to a public postsecondary university, or earn a career technical education certificate in CA.</w:t>
            </w:r>
          </w:p>
          <w:p w14:paraId="564E8A09" w14:textId="1D104B10" w:rsidR="0044351C" w:rsidRDefault="0044351C" w:rsidP="0044351C">
            <w:pPr>
              <w:pStyle w:val="Normal1"/>
              <w:numPr>
                <w:ilvl w:val="0"/>
                <w:numId w:val="1"/>
              </w:numPr>
            </w:pPr>
            <w:r>
              <w:t>Provide outreach to students who are enrolled at a community college within the community college district regarding the AAT Transfer Degree Programs.</w:t>
            </w:r>
          </w:p>
          <w:p w14:paraId="38F3145E" w14:textId="77777777" w:rsidR="004C47AB" w:rsidRDefault="004C47AB" w:rsidP="0044351C">
            <w:pPr>
              <w:pStyle w:val="Normal1"/>
            </w:pPr>
          </w:p>
          <w:p w14:paraId="60612334" w14:textId="77777777" w:rsidR="004C47AB" w:rsidRDefault="004C47AB" w:rsidP="0044351C">
            <w:pPr>
              <w:pStyle w:val="Normal1"/>
            </w:pPr>
          </w:p>
          <w:p w14:paraId="151C651B" w14:textId="77777777" w:rsidR="0044351C" w:rsidRDefault="0044351C" w:rsidP="0044351C">
            <w:pPr>
              <w:pStyle w:val="Normal1"/>
            </w:pPr>
            <w:r>
              <w:t>Suggested Outcomes:</w:t>
            </w:r>
          </w:p>
          <w:p w14:paraId="7D5F6A70" w14:textId="206F42A3" w:rsidR="0044351C" w:rsidRDefault="0044351C" w:rsidP="0044351C">
            <w:pPr>
              <w:pStyle w:val="Normal1"/>
              <w:numPr>
                <w:ilvl w:val="0"/>
                <w:numId w:val="2"/>
              </w:numPr>
            </w:pPr>
            <w:r>
              <w:t>Increase the number and percentage of high school students within the region who are prepared for and attend college directly from high school.</w:t>
            </w:r>
          </w:p>
          <w:p w14:paraId="64BE7AAC" w14:textId="1A4F8BDB" w:rsidR="002D6839" w:rsidRDefault="002D6839" w:rsidP="0044351C">
            <w:pPr>
              <w:pStyle w:val="Normal1"/>
              <w:numPr>
                <w:ilvl w:val="0"/>
                <w:numId w:val="2"/>
              </w:numPr>
            </w:pPr>
            <w:r>
              <w:t>Increase the percentage of high school graduates within the region who are placed college-level Math and English at public postsecondary universities in CA.</w:t>
            </w:r>
          </w:p>
          <w:p w14:paraId="78B52094" w14:textId="2A032A86" w:rsidR="002D6839" w:rsidRDefault="002D6839" w:rsidP="0044351C">
            <w:pPr>
              <w:pStyle w:val="Normal1"/>
              <w:numPr>
                <w:ilvl w:val="0"/>
                <w:numId w:val="2"/>
              </w:numPr>
            </w:pPr>
            <w:r>
              <w:t>Increase the percentage of students from the region who earn associate degrees or career technical education certificates.</w:t>
            </w:r>
          </w:p>
          <w:p w14:paraId="568330E4" w14:textId="7638BA20" w:rsidR="002D6839" w:rsidRDefault="002D6839" w:rsidP="0044351C">
            <w:pPr>
              <w:pStyle w:val="Normal1"/>
              <w:numPr>
                <w:ilvl w:val="0"/>
                <w:numId w:val="2"/>
              </w:numPr>
            </w:pPr>
            <w:r>
              <w:t>Increase the percentage of students from the region who successfully transfer from a community college to a public postsecondary university in CA.</w:t>
            </w:r>
          </w:p>
          <w:p w14:paraId="6A0481FF" w14:textId="77777777" w:rsidR="002D6839" w:rsidRDefault="002D6839" w:rsidP="0044351C">
            <w:pPr>
              <w:pStyle w:val="Normal1"/>
              <w:numPr>
                <w:ilvl w:val="0"/>
                <w:numId w:val="2"/>
              </w:numPr>
            </w:pPr>
            <w:r>
              <w:t>Increase the percentage of students from the region who graduate with a BA.</w:t>
            </w:r>
          </w:p>
          <w:p w14:paraId="0DF21272" w14:textId="103AD5BA" w:rsidR="00D72336" w:rsidRDefault="002D6839" w:rsidP="002D6839">
            <w:pPr>
              <w:pStyle w:val="Normal1"/>
              <w:numPr>
                <w:ilvl w:val="0"/>
                <w:numId w:val="2"/>
              </w:numPr>
            </w:pPr>
            <w:r>
              <w:t xml:space="preserve">Reduce and eliminate achievement gaps for students from groups that are </w:t>
            </w:r>
            <w:proofErr w:type="spellStart"/>
            <w:r>
              <w:t>under represented</w:t>
            </w:r>
            <w:proofErr w:type="spellEnd"/>
            <w:r>
              <w:t xml:space="preserve"> in a postsecondary education, such as </w:t>
            </w:r>
            <w:proofErr w:type="spellStart"/>
            <w:r>
              <w:t>under represented</w:t>
            </w:r>
            <w:proofErr w:type="spellEnd"/>
            <w:r>
              <w:t xml:space="preserve"> minority students, low income students, students who are current or former foster youth, students with disabilities, and students who are veterans.</w:t>
            </w:r>
          </w:p>
          <w:p w14:paraId="1ABA475A" w14:textId="77777777" w:rsidR="00D72336" w:rsidRDefault="00D72336">
            <w:pPr>
              <w:pStyle w:val="Normal1"/>
            </w:pPr>
          </w:p>
        </w:tc>
      </w:tr>
    </w:tbl>
    <w:p w14:paraId="571242BA" w14:textId="77777777" w:rsidR="00D72336" w:rsidRDefault="00D72336">
      <w:pPr>
        <w:pStyle w:val="Normal1"/>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3726758D" w14:textId="77777777">
        <w:tc>
          <w:tcPr>
            <w:tcW w:w="9360" w:type="dxa"/>
            <w:tcMar>
              <w:top w:w="100" w:type="dxa"/>
              <w:left w:w="100" w:type="dxa"/>
              <w:bottom w:w="100" w:type="dxa"/>
              <w:right w:w="100" w:type="dxa"/>
            </w:tcMar>
          </w:tcPr>
          <w:p w14:paraId="7296BAE6" w14:textId="77777777" w:rsidR="00D72336" w:rsidRDefault="001213FF">
            <w:pPr>
              <w:pStyle w:val="Normal1"/>
            </w:pPr>
            <w:r>
              <w:rPr>
                <w:b/>
              </w:rPr>
              <w:t>B.  Connection of the grant to SLOs, ILOs, Education, Facilities, Technology, Strategic Master Plan(s):</w:t>
            </w:r>
          </w:p>
          <w:p w14:paraId="1B8D07E3" w14:textId="77777777" w:rsidR="00D72336" w:rsidRDefault="00D72336">
            <w:pPr>
              <w:pStyle w:val="Normal1"/>
            </w:pPr>
          </w:p>
          <w:p w14:paraId="53B61B52" w14:textId="77777777" w:rsidR="00FF3D86" w:rsidRDefault="00FF3D86" w:rsidP="00FF3D86">
            <w:pPr>
              <w:pBdr>
                <w:top w:val="single" w:sz="4" w:space="1" w:color="auto"/>
                <w:left w:val="single" w:sz="4" w:space="4" w:color="auto"/>
                <w:bottom w:val="single" w:sz="4" w:space="1" w:color="auto"/>
                <w:right w:val="single" w:sz="4" w:space="4" w:color="auto"/>
              </w:pBdr>
              <w:shd w:val="clear" w:color="auto" w:fill="F2F2F2" w:themeFill="background1" w:themeFillShade="F2"/>
            </w:pPr>
            <w:proofErr w:type="spellStart"/>
            <w:r>
              <w:t>Gavilan</w:t>
            </w:r>
            <w:proofErr w:type="spellEnd"/>
            <w:r>
              <w:t xml:space="preserve"> Institutional Goals</w:t>
            </w:r>
            <w:r>
              <w:tab/>
              <w:t>(2016-2019)</w:t>
            </w:r>
            <w:r>
              <w:tab/>
            </w:r>
            <w:r>
              <w:tab/>
              <w:t>Grant Proposal Goals</w:t>
            </w:r>
          </w:p>
          <w:tbl>
            <w:tblPr>
              <w:tblStyle w:val="TableGrid"/>
              <w:tblW w:w="0" w:type="auto"/>
              <w:tblLayout w:type="fixed"/>
              <w:tblLook w:val="04A0" w:firstRow="1" w:lastRow="0" w:firstColumn="1" w:lastColumn="0" w:noHBand="0" w:noVBand="1"/>
            </w:tblPr>
            <w:tblGrid>
              <w:gridCol w:w="4675"/>
              <w:gridCol w:w="4675"/>
            </w:tblGrid>
            <w:tr w:rsidR="00FF3D86" w14:paraId="2A49DD2D" w14:textId="77777777" w:rsidTr="00707355">
              <w:tc>
                <w:tcPr>
                  <w:tcW w:w="4675" w:type="dxa"/>
                </w:tcPr>
                <w:p w14:paraId="0C42E9A4" w14:textId="77777777" w:rsidR="00FF3D86" w:rsidRDefault="00FF3D86" w:rsidP="00FF3D86">
                  <w:pPr>
                    <w:autoSpaceDE w:val="0"/>
                    <w:autoSpaceDN w:val="0"/>
                    <w:adjustRightInd w:val="0"/>
                    <w:rPr>
                      <w:rFonts w:ascii="Arial-BoldItalicMT" w:hAnsi="Arial-BoldItalicMT" w:cs="Arial-BoldItalicMT"/>
                      <w:b/>
                      <w:bCs/>
                      <w:i/>
                      <w:iCs/>
                    </w:rPr>
                  </w:pPr>
                  <w:r>
                    <w:rPr>
                      <w:rFonts w:ascii="Arial-BoldItalicMT" w:hAnsi="Arial-BoldItalicMT" w:cs="Arial-BoldItalicMT"/>
                      <w:b/>
                      <w:bCs/>
                      <w:i/>
                      <w:iCs/>
                    </w:rPr>
                    <w:t>STRATEGY #1</w:t>
                  </w:r>
                </w:p>
                <w:p w14:paraId="7E09EBAD" w14:textId="77777777" w:rsidR="00FF3D86" w:rsidRDefault="00FF3D86" w:rsidP="00FF3D86">
                  <w:pPr>
                    <w:autoSpaceDE w:val="0"/>
                    <w:autoSpaceDN w:val="0"/>
                    <w:adjustRightInd w:val="0"/>
                    <w:rPr>
                      <w:rFonts w:ascii="Arial-BoldItalicMT" w:hAnsi="Arial-BoldItalicMT" w:cs="Arial-BoldItalicMT"/>
                      <w:b/>
                      <w:bCs/>
                      <w:i/>
                      <w:iCs/>
                      <w:sz w:val="21"/>
                      <w:szCs w:val="21"/>
                    </w:rPr>
                  </w:pPr>
                  <w:r>
                    <w:rPr>
                      <w:rFonts w:ascii="Arial-BoldItalicMT" w:hAnsi="Arial-BoldItalicMT" w:cs="Arial-BoldItalicMT"/>
                      <w:b/>
                      <w:bCs/>
                      <w:i/>
                      <w:iCs/>
                      <w:sz w:val="21"/>
                      <w:szCs w:val="21"/>
                    </w:rPr>
                    <w:t>Optimize enrollment, course offerings, and services to reflect community needs and</w:t>
                  </w:r>
                </w:p>
                <w:p w14:paraId="5DA34767" w14:textId="77777777" w:rsidR="00FF3D86" w:rsidRDefault="00FF3D86" w:rsidP="00FF3D86">
                  <w:pPr>
                    <w:rPr>
                      <w:rFonts w:ascii="Arial" w:hAnsi="Arial"/>
                    </w:rPr>
                  </w:pPr>
                  <w:proofErr w:type="gramStart"/>
                  <w:r>
                    <w:rPr>
                      <w:rFonts w:ascii="Arial-BoldItalicMT" w:hAnsi="Arial-BoldItalicMT" w:cs="Arial-BoldItalicMT"/>
                      <w:b/>
                      <w:bCs/>
                      <w:i/>
                      <w:iCs/>
                      <w:sz w:val="21"/>
                      <w:szCs w:val="21"/>
                    </w:rPr>
                    <w:t>growth</w:t>
                  </w:r>
                  <w:proofErr w:type="gramEnd"/>
                  <w:r>
                    <w:rPr>
                      <w:rFonts w:ascii="Arial-BoldItalicMT" w:hAnsi="Arial-BoldItalicMT" w:cs="Arial-BoldItalicMT"/>
                      <w:b/>
                      <w:bCs/>
                      <w:i/>
                      <w:iCs/>
                      <w:sz w:val="21"/>
                      <w:szCs w:val="21"/>
                    </w:rPr>
                    <w:t>.</w:t>
                  </w:r>
                </w:p>
              </w:tc>
              <w:tc>
                <w:tcPr>
                  <w:tcW w:w="4675" w:type="dxa"/>
                </w:tcPr>
                <w:p w14:paraId="5BF7287C" w14:textId="77777777" w:rsidR="00FF3D86" w:rsidRDefault="00FF3D86" w:rsidP="00FF3D86">
                  <w:pPr>
                    <w:rPr>
                      <w:rFonts w:ascii="Arial" w:hAnsi="Arial"/>
                    </w:rPr>
                  </w:pPr>
                  <w:r>
                    <w:rPr>
                      <w:rFonts w:ascii="Arial" w:hAnsi="Arial"/>
                    </w:rPr>
                    <w:t>Increase enrollment in educational pathways.</w:t>
                  </w:r>
                </w:p>
                <w:p w14:paraId="33D916BB" w14:textId="77777777" w:rsidR="00FF3D86" w:rsidRDefault="00FF3D86" w:rsidP="00FF3D86">
                  <w:pPr>
                    <w:rPr>
                      <w:rFonts w:ascii="Arial" w:hAnsi="Arial"/>
                    </w:rPr>
                  </w:pPr>
                  <w:r>
                    <w:rPr>
                      <w:rFonts w:ascii="Arial" w:hAnsi="Arial"/>
                    </w:rPr>
                    <w:t xml:space="preserve"> *increase enrollment by 10%</w:t>
                  </w:r>
                </w:p>
              </w:tc>
            </w:tr>
            <w:tr w:rsidR="00FF3D86" w14:paraId="6A054970" w14:textId="77777777" w:rsidTr="00707355">
              <w:tc>
                <w:tcPr>
                  <w:tcW w:w="4675" w:type="dxa"/>
                </w:tcPr>
                <w:p w14:paraId="6EB6C7A2" w14:textId="77777777" w:rsidR="00FF3D86" w:rsidRDefault="00FF3D86" w:rsidP="00FF3D86">
                  <w:pPr>
                    <w:autoSpaceDE w:val="0"/>
                    <w:autoSpaceDN w:val="0"/>
                    <w:adjustRightInd w:val="0"/>
                    <w:rPr>
                      <w:rFonts w:ascii="ArialMT" w:hAnsi="ArialMT" w:cs="ArialMT"/>
                      <w:sz w:val="21"/>
                      <w:szCs w:val="21"/>
                    </w:rPr>
                  </w:pPr>
                  <w:r>
                    <w:rPr>
                      <w:rFonts w:ascii="Arial-BoldMT" w:hAnsi="Arial-BoldMT" w:cs="Arial-BoldMT"/>
                      <w:b/>
                      <w:bCs/>
                      <w:sz w:val="21"/>
                      <w:szCs w:val="21"/>
                    </w:rPr>
                    <w:t xml:space="preserve">Goal #1 </w:t>
                  </w:r>
                  <w:r>
                    <w:rPr>
                      <w:rFonts w:ascii="ArialMT" w:hAnsi="ArialMT" w:cs="ArialMT"/>
                      <w:sz w:val="21"/>
                      <w:szCs w:val="21"/>
                    </w:rPr>
                    <w:t>Create an institutional approach to offer and integrate student outreach activities,</w:t>
                  </w:r>
                </w:p>
                <w:p w14:paraId="75158C35" w14:textId="77777777" w:rsidR="00FF3D86" w:rsidRDefault="00FF3D86" w:rsidP="00FF3D86">
                  <w:pPr>
                    <w:autoSpaceDE w:val="0"/>
                    <w:autoSpaceDN w:val="0"/>
                    <w:adjustRightInd w:val="0"/>
                    <w:rPr>
                      <w:rFonts w:ascii="ArialMT" w:hAnsi="ArialMT" w:cs="ArialMT"/>
                      <w:sz w:val="21"/>
                      <w:szCs w:val="21"/>
                    </w:rPr>
                  </w:pPr>
                  <w:r>
                    <w:rPr>
                      <w:rFonts w:ascii="ArialMT" w:hAnsi="ArialMT" w:cs="ArialMT"/>
                      <w:sz w:val="21"/>
                      <w:szCs w:val="21"/>
                    </w:rPr>
                    <w:t>recruitment, assessment, orientation, counseling, retention and follow-up efforts,</w:t>
                  </w:r>
                </w:p>
                <w:p w14:paraId="56B0BEEB" w14:textId="77777777" w:rsidR="00FF3D86" w:rsidRDefault="00FF3D86" w:rsidP="00FF3D86">
                  <w:pPr>
                    <w:rPr>
                      <w:rFonts w:ascii="Arial" w:hAnsi="Arial"/>
                    </w:rPr>
                  </w:pPr>
                  <w:r>
                    <w:rPr>
                      <w:rFonts w:ascii="ArialMT" w:hAnsi="ArialMT" w:cs="ArialMT"/>
                      <w:sz w:val="21"/>
                      <w:szCs w:val="21"/>
                    </w:rPr>
                    <w:t>with particular attention to educationally under-represented student populations</w:t>
                  </w:r>
                </w:p>
              </w:tc>
              <w:tc>
                <w:tcPr>
                  <w:tcW w:w="4675" w:type="dxa"/>
                </w:tcPr>
                <w:p w14:paraId="55992C57" w14:textId="77777777" w:rsidR="00FF3D86" w:rsidRDefault="00FF3D86" w:rsidP="00FF3D86">
                  <w:pPr>
                    <w:rPr>
                      <w:rFonts w:ascii="Arial" w:hAnsi="Arial"/>
                    </w:rPr>
                  </w:pPr>
                  <w:r>
                    <w:rPr>
                      <w:rFonts w:ascii="Arial" w:hAnsi="Arial"/>
                    </w:rPr>
                    <w:t xml:space="preserve">Work with campus programs to integrate outreach activities, recruitment, </w:t>
                  </w:r>
                  <w:proofErr w:type="gramStart"/>
                  <w:r>
                    <w:rPr>
                      <w:rFonts w:ascii="Arial" w:hAnsi="Arial"/>
                    </w:rPr>
                    <w:t>assessment</w:t>
                  </w:r>
                  <w:proofErr w:type="gramEnd"/>
                  <w:r>
                    <w:rPr>
                      <w:rFonts w:ascii="Arial" w:hAnsi="Arial"/>
                    </w:rPr>
                    <w:t>, have annual orientations for students and connect regularly with educational pathways majors.</w:t>
                  </w:r>
                </w:p>
                <w:p w14:paraId="7046DFD1" w14:textId="77777777" w:rsidR="00FF3D86" w:rsidRDefault="00FF3D86" w:rsidP="00FF3D86">
                  <w:pPr>
                    <w:rPr>
                      <w:rFonts w:ascii="Arial" w:hAnsi="Arial"/>
                    </w:rPr>
                  </w:pPr>
                </w:p>
              </w:tc>
            </w:tr>
            <w:tr w:rsidR="00FF3D86" w14:paraId="1490F265" w14:textId="77777777" w:rsidTr="00707355">
              <w:tc>
                <w:tcPr>
                  <w:tcW w:w="4675" w:type="dxa"/>
                </w:tcPr>
                <w:p w14:paraId="67DF38E8" w14:textId="77777777" w:rsidR="00FF3D86" w:rsidRDefault="00FF3D86" w:rsidP="00FF3D86">
                  <w:pPr>
                    <w:autoSpaceDE w:val="0"/>
                    <w:autoSpaceDN w:val="0"/>
                    <w:adjustRightInd w:val="0"/>
                    <w:rPr>
                      <w:rFonts w:ascii="Arial-BoldItalicMT" w:hAnsi="Arial-BoldItalicMT" w:cs="Arial-BoldItalicMT"/>
                      <w:b/>
                      <w:bCs/>
                      <w:i/>
                      <w:iCs/>
                    </w:rPr>
                  </w:pPr>
                  <w:r>
                    <w:rPr>
                      <w:rFonts w:ascii="Arial-BoldItalicMT" w:hAnsi="Arial-BoldItalicMT" w:cs="Arial-BoldItalicMT"/>
                      <w:b/>
                      <w:bCs/>
                      <w:i/>
                      <w:iCs/>
                    </w:rPr>
                    <w:t>STRATEGY #2</w:t>
                  </w:r>
                </w:p>
                <w:p w14:paraId="799719B5" w14:textId="77777777" w:rsidR="00FF3D86" w:rsidRPr="00CA7355" w:rsidRDefault="00FF3D86" w:rsidP="00FF3D86">
                  <w:pPr>
                    <w:autoSpaceDE w:val="0"/>
                    <w:autoSpaceDN w:val="0"/>
                    <w:adjustRightInd w:val="0"/>
                    <w:rPr>
                      <w:rFonts w:ascii="Arial-BoldItalicMT" w:hAnsi="Arial-BoldItalicMT" w:cs="Arial-BoldItalicMT"/>
                      <w:b/>
                      <w:bCs/>
                      <w:i/>
                      <w:iCs/>
                      <w:sz w:val="21"/>
                      <w:szCs w:val="21"/>
                    </w:rPr>
                  </w:pPr>
                  <w:r>
                    <w:rPr>
                      <w:rFonts w:ascii="Arial-BoldItalicMT" w:hAnsi="Arial-BoldItalicMT" w:cs="Arial-BoldItalicMT"/>
                      <w:b/>
                      <w:bCs/>
                      <w:i/>
                      <w:iCs/>
                      <w:sz w:val="21"/>
                      <w:szCs w:val="21"/>
                    </w:rPr>
                    <w:t>Improve student services and enhance curriculum and programs in order to help students meet their educational, career, and personal goals.</w:t>
                  </w:r>
                </w:p>
              </w:tc>
              <w:tc>
                <w:tcPr>
                  <w:tcW w:w="4675" w:type="dxa"/>
                </w:tcPr>
                <w:p w14:paraId="34C23781" w14:textId="77777777" w:rsidR="00FF3D86" w:rsidRDefault="00FF3D86" w:rsidP="00FF3D86">
                  <w:pPr>
                    <w:rPr>
                      <w:rFonts w:ascii="Arial" w:hAnsi="Arial"/>
                    </w:rPr>
                  </w:pPr>
                  <w:r>
                    <w:rPr>
                      <w:rFonts w:ascii="Arial" w:hAnsi="Arial"/>
                    </w:rPr>
                    <w:t>Clarify pathways for educational degree and certificate programs.</w:t>
                  </w:r>
                </w:p>
                <w:p w14:paraId="19D8285B" w14:textId="77777777" w:rsidR="00FF3D86" w:rsidRDefault="00FF3D86" w:rsidP="00FF3D86">
                  <w:pPr>
                    <w:rPr>
                      <w:rFonts w:ascii="Arial" w:hAnsi="Arial"/>
                    </w:rPr>
                  </w:pPr>
                  <w:r>
                    <w:rPr>
                      <w:rFonts w:ascii="Arial" w:hAnsi="Arial"/>
                    </w:rPr>
                    <w:t>Support students with materials, required Title 22 documents for working in CA schools.</w:t>
                  </w:r>
                </w:p>
              </w:tc>
            </w:tr>
            <w:tr w:rsidR="00FF3D86" w14:paraId="46DFD80B" w14:textId="77777777" w:rsidTr="00707355">
              <w:tc>
                <w:tcPr>
                  <w:tcW w:w="4675" w:type="dxa"/>
                </w:tcPr>
                <w:p w14:paraId="17AFBD2C" w14:textId="77777777" w:rsidR="00FF3D86" w:rsidRDefault="00FF3D86" w:rsidP="00FF3D86">
                  <w:pPr>
                    <w:autoSpaceDE w:val="0"/>
                    <w:autoSpaceDN w:val="0"/>
                    <w:adjustRightInd w:val="0"/>
                    <w:rPr>
                      <w:rFonts w:ascii="ArialMT" w:hAnsi="ArialMT" w:cs="ArialMT"/>
                      <w:sz w:val="21"/>
                      <w:szCs w:val="21"/>
                    </w:rPr>
                  </w:pPr>
                  <w:r>
                    <w:rPr>
                      <w:rFonts w:ascii="Arial-BoldMT" w:hAnsi="Arial-BoldMT" w:cs="Arial-BoldMT"/>
                      <w:b/>
                      <w:bCs/>
                      <w:sz w:val="21"/>
                      <w:szCs w:val="21"/>
                    </w:rPr>
                    <w:t xml:space="preserve">Goal #1 </w:t>
                  </w:r>
                  <w:r>
                    <w:rPr>
                      <w:rFonts w:ascii="ArialMT" w:hAnsi="ArialMT" w:cs="ArialMT"/>
                      <w:sz w:val="21"/>
                      <w:szCs w:val="21"/>
                    </w:rPr>
                    <w:t>Increase the student success, completion, and transfer rates using reasonable</w:t>
                  </w:r>
                </w:p>
                <w:p w14:paraId="4BF90877" w14:textId="77777777" w:rsidR="00FF3D86" w:rsidRDefault="00FF3D86" w:rsidP="00FF3D86">
                  <w:pPr>
                    <w:rPr>
                      <w:rFonts w:ascii="Arial" w:hAnsi="Arial"/>
                    </w:rPr>
                  </w:pPr>
                  <w:proofErr w:type="gramStart"/>
                  <w:r>
                    <w:rPr>
                      <w:rFonts w:ascii="ArialMT" w:hAnsi="ArialMT" w:cs="ArialMT"/>
                      <w:sz w:val="21"/>
                      <w:szCs w:val="21"/>
                    </w:rPr>
                    <w:t>benchmarks</w:t>
                  </w:r>
                  <w:proofErr w:type="gramEnd"/>
                  <w:r>
                    <w:rPr>
                      <w:rFonts w:ascii="ArialMT" w:hAnsi="ArialMT" w:cs="ArialMT"/>
                      <w:sz w:val="21"/>
                      <w:szCs w:val="21"/>
                    </w:rPr>
                    <w:t xml:space="preserve"> specified by the College.</w:t>
                  </w:r>
                </w:p>
              </w:tc>
              <w:tc>
                <w:tcPr>
                  <w:tcW w:w="4675" w:type="dxa"/>
                </w:tcPr>
                <w:p w14:paraId="2BC6A203" w14:textId="77777777" w:rsidR="00FF3D86" w:rsidRDefault="00FF3D86" w:rsidP="00FF3D86">
                  <w:pPr>
                    <w:rPr>
                      <w:rFonts w:ascii="Arial" w:hAnsi="Arial"/>
                    </w:rPr>
                  </w:pPr>
                  <w:r>
                    <w:rPr>
                      <w:rFonts w:ascii="Arial" w:hAnsi="Arial"/>
                    </w:rPr>
                    <w:t>Increase graduation rates for educational careers.</w:t>
                  </w:r>
                </w:p>
                <w:p w14:paraId="7E420C53" w14:textId="77777777" w:rsidR="00FF3D86" w:rsidRDefault="00FF3D86" w:rsidP="00FF3D86">
                  <w:pPr>
                    <w:rPr>
                      <w:rFonts w:ascii="Arial" w:hAnsi="Arial"/>
                    </w:rPr>
                  </w:pPr>
                  <w:r>
                    <w:rPr>
                      <w:rFonts w:ascii="Arial" w:hAnsi="Arial"/>
                    </w:rPr>
                    <w:t>*increase by 15%</w:t>
                  </w:r>
                </w:p>
              </w:tc>
            </w:tr>
            <w:tr w:rsidR="00FF3D86" w14:paraId="7A6A9605" w14:textId="77777777" w:rsidTr="00707355">
              <w:tc>
                <w:tcPr>
                  <w:tcW w:w="4675" w:type="dxa"/>
                </w:tcPr>
                <w:p w14:paraId="146FFCA2" w14:textId="77777777" w:rsidR="00FF3D86" w:rsidRDefault="00FF3D86" w:rsidP="00FF3D86">
                  <w:pPr>
                    <w:autoSpaceDE w:val="0"/>
                    <w:autoSpaceDN w:val="0"/>
                    <w:adjustRightInd w:val="0"/>
                    <w:rPr>
                      <w:rFonts w:ascii="ArialMT" w:hAnsi="ArialMT" w:cs="ArialMT"/>
                      <w:sz w:val="21"/>
                      <w:szCs w:val="21"/>
                    </w:rPr>
                  </w:pPr>
                  <w:r>
                    <w:rPr>
                      <w:rFonts w:ascii="Arial-BoldMT" w:hAnsi="Arial-BoldMT" w:cs="Arial-BoldMT"/>
                      <w:b/>
                      <w:bCs/>
                      <w:sz w:val="21"/>
                      <w:szCs w:val="21"/>
                    </w:rPr>
                    <w:t xml:space="preserve">Goal #5 </w:t>
                  </w:r>
                  <w:r>
                    <w:rPr>
                      <w:rFonts w:ascii="ArialMT" w:hAnsi="ArialMT" w:cs="ArialMT"/>
                      <w:sz w:val="21"/>
                      <w:szCs w:val="21"/>
                    </w:rPr>
                    <w:t>Provide a means to develop meaningful connections with educational and</w:t>
                  </w:r>
                </w:p>
                <w:p w14:paraId="273B9624" w14:textId="77777777" w:rsidR="00FF3D86" w:rsidRDefault="00FF3D86" w:rsidP="00FF3D86">
                  <w:pPr>
                    <w:rPr>
                      <w:rFonts w:ascii="Arial" w:hAnsi="Arial"/>
                    </w:rPr>
                  </w:pPr>
                  <w:proofErr w:type="gramStart"/>
                  <w:r>
                    <w:rPr>
                      <w:rFonts w:ascii="ArialMT" w:hAnsi="ArialMT" w:cs="ArialMT"/>
                      <w:sz w:val="21"/>
                      <w:szCs w:val="21"/>
                    </w:rPr>
                    <w:t>community</w:t>
                  </w:r>
                  <w:proofErr w:type="gramEnd"/>
                  <w:r>
                    <w:rPr>
                      <w:rFonts w:ascii="ArialMT" w:hAnsi="ArialMT" w:cs="ArialMT"/>
                      <w:sz w:val="21"/>
                      <w:szCs w:val="21"/>
                    </w:rPr>
                    <w:t xml:space="preserve"> partners.</w:t>
                  </w:r>
                </w:p>
              </w:tc>
              <w:tc>
                <w:tcPr>
                  <w:tcW w:w="4675" w:type="dxa"/>
                </w:tcPr>
                <w:p w14:paraId="33FB9AE7" w14:textId="77777777" w:rsidR="00FF3D86" w:rsidRDefault="00FF3D86" w:rsidP="00FF3D86">
                  <w:pPr>
                    <w:rPr>
                      <w:rFonts w:ascii="Arial" w:hAnsi="Arial"/>
                    </w:rPr>
                  </w:pPr>
                  <w:r>
                    <w:rPr>
                      <w:rFonts w:ascii="Arial" w:hAnsi="Arial"/>
                    </w:rPr>
                    <w:t xml:space="preserve">Connect with students in high school, </w:t>
                  </w:r>
                  <w:proofErr w:type="spellStart"/>
                  <w:r>
                    <w:rPr>
                      <w:rFonts w:ascii="Arial" w:hAnsi="Arial"/>
                    </w:rPr>
                    <w:t>Gavilan</w:t>
                  </w:r>
                  <w:proofErr w:type="spellEnd"/>
                  <w:r>
                    <w:rPr>
                      <w:rFonts w:ascii="Arial" w:hAnsi="Arial"/>
                    </w:rPr>
                    <w:t>, CSUMB and SJSU.</w:t>
                  </w:r>
                </w:p>
                <w:p w14:paraId="56724FC1" w14:textId="77777777" w:rsidR="00FF3D86" w:rsidRDefault="00FF3D86" w:rsidP="00FF3D86">
                  <w:pPr>
                    <w:rPr>
                      <w:rFonts w:ascii="Arial" w:hAnsi="Arial"/>
                    </w:rPr>
                  </w:pPr>
                  <w:r>
                    <w:rPr>
                      <w:rFonts w:ascii="Arial" w:hAnsi="Arial"/>
                    </w:rPr>
                    <w:t>*increase</w:t>
                  </w:r>
                </w:p>
              </w:tc>
            </w:tr>
            <w:tr w:rsidR="00FF3D86" w14:paraId="4E2F2700" w14:textId="77777777" w:rsidTr="00707355">
              <w:tc>
                <w:tcPr>
                  <w:tcW w:w="4675" w:type="dxa"/>
                </w:tcPr>
                <w:p w14:paraId="660A4822" w14:textId="77777777" w:rsidR="00FF3D86" w:rsidRDefault="00FF3D86" w:rsidP="00FF3D86">
                  <w:pPr>
                    <w:autoSpaceDE w:val="0"/>
                    <w:autoSpaceDN w:val="0"/>
                    <w:adjustRightInd w:val="0"/>
                    <w:rPr>
                      <w:rFonts w:ascii="Arial-BoldItalicMT" w:hAnsi="Arial-BoldItalicMT" w:cs="Arial-BoldItalicMT"/>
                      <w:b/>
                      <w:bCs/>
                      <w:i/>
                      <w:iCs/>
                    </w:rPr>
                  </w:pPr>
                  <w:r>
                    <w:rPr>
                      <w:rFonts w:ascii="Arial-BoldItalicMT" w:hAnsi="Arial-BoldItalicMT" w:cs="Arial-BoldItalicMT"/>
                      <w:b/>
                      <w:bCs/>
                      <w:i/>
                      <w:iCs/>
                    </w:rPr>
                    <w:t>STRATEGY # 3</w:t>
                  </w:r>
                </w:p>
                <w:p w14:paraId="337E262E" w14:textId="77777777" w:rsidR="00FF3D86" w:rsidRDefault="00FF3D86" w:rsidP="00FF3D86">
                  <w:pPr>
                    <w:rPr>
                      <w:rFonts w:ascii="Arial" w:hAnsi="Arial"/>
                    </w:rPr>
                  </w:pPr>
                  <w:r>
                    <w:rPr>
                      <w:rFonts w:ascii="Arial-BoldItalicMT" w:hAnsi="Arial-BoldItalicMT" w:cs="Arial-BoldItalicMT"/>
                      <w:b/>
                      <w:bCs/>
                      <w:i/>
                      <w:iCs/>
                      <w:sz w:val="21"/>
                      <w:szCs w:val="21"/>
                    </w:rPr>
                    <w:t xml:space="preserve">Improve and expand existing facilities to </w:t>
                  </w:r>
                  <w:r>
                    <w:rPr>
                      <w:rFonts w:ascii="Arial-BoldItalicMT" w:hAnsi="Arial-BoldItalicMT" w:cs="Arial-BoldItalicMT"/>
                      <w:b/>
                      <w:bCs/>
                      <w:i/>
                      <w:iCs/>
                      <w:sz w:val="21"/>
                      <w:szCs w:val="21"/>
                    </w:rPr>
                    <w:lastRenderedPageBreak/>
                    <w:t>enhance the learning environment.</w:t>
                  </w:r>
                </w:p>
              </w:tc>
              <w:tc>
                <w:tcPr>
                  <w:tcW w:w="4675" w:type="dxa"/>
                </w:tcPr>
                <w:p w14:paraId="098B86C9" w14:textId="77777777" w:rsidR="00FF3D86" w:rsidRDefault="00FF3D86" w:rsidP="00FF3D86">
                  <w:pPr>
                    <w:rPr>
                      <w:rFonts w:ascii="Arial" w:hAnsi="Arial"/>
                    </w:rPr>
                  </w:pPr>
                  <w:r>
                    <w:rPr>
                      <w:rFonts w:ascii="Arial" w:hAnsi="Arial"/>
                    </w:rPr>
                    <w:lastRenderedPageBreak/>
                    <w:t>Develop an Educational Center for students and community enhancement.</w:t>
                  </w:r>
                </w:p>
                <w:p w14:paraId="48BE78DA" w14:textId="77777777" w:rsidR="00FF3D86" w:rsidRDefault="00FF3D86" w:rsidP="00FF3D86">
                  <w:pPr>
                    <w:rPr>
                      <w:rFonts w:ascii="Arial" w:hAnsi="Arial"/>
                    </w:rPr>
                  </w:pPr>
                  <w:r>
                    <w:rPr>
                      <w:rFonts w:ascii="Arial" w:hAnsi="Arial"/>
                    </w:rPr>
                    <w:lastRenderedPageBreak/>
                    <w:t>*increase by 100%</w:t>
                  </w:r>
                </w:p>
              </w:tc>
            </w:tr>
            <w:tr w:rsidR="00FF3D86" w14:paraId="3CD87FBF" w14:textId="77777777" w:rsidTr="00707355">
              <w:tc>
                <w:tcPr>
                  <w:tcW w:w="4675" w:type="dxa"/>
                </w:tcPr>
                <w:p w14:paraId="01F802BF" w14:textId="77777777" w:rsidR="00FF3D86" w:rsidRDefault="00FF3D86" w:rsidP="00FF3D86">
                  <w:pPr>
                    <w:rPr>
                      <w:rFonts w:ascii="Arial" w:hAnsi="Arial"/>
                    </w:rPr>
                  </w:pPr>
                  <w:r>
                    <w:rPr>
                      <w:rFonts w:ascii="Arial-BoldMT" w:hAnsi="Arial-BoldMT" w:cs="Arial-BoldMT"/>
                      <w:b/>
                      <w:bCs/>
                      <w:sz w:val="21"/>
                      <w:szCs w:val="21"/>
                    </w:rPr>
                    <w:lastRenderedPageBreak/>
                    <w:t xml:space="preserve">Goal #5 </w:t>
                  </w:r>
                  <w:r>
                    <w:rPr>
                      <w:rFonts w:ascii="ArialMT" w:hAnsi="ArialMT" w:cs="ArialMT"/>
                      <w:sz w:val="21"/>
                      <w:szCs w:val="21"/>
                    </w:rPr>
                    <w:t>Create gathering spaces so students and staff may engage in scholarly interaction.</w:t>
                  </w:r>
                </w:p>
              </w:tc>
              <w:tc>
                <w:tcPr>
                  <w:tcW w:w="4675" w:type="dxa"/>
                </w:tcPr>
                <w:p w14:paraId="228E0167" w14:textId="77777777" w:rsidR="00FF3D86" w:rsidRDefault="00FF3D86" w:rsidP="00FF3D86">
                  <w:pPr>
                    <w:rPr>
                      <w:rFonts w:ascii="Arial" w:hAnsi="Arial"/>
                    </w:rPr>
                  </w:pPr>
                  <w:r>
                    <w:rPr>
                      <w:rFonts w:ascii="Arial" w:hAnsi="Arial"/>
                    </w:rPr>
                    <w:t>Connect with community agencies, schools and students pursuing high quality education that leads to developing high quality educational programs birth through college.</w:t>
                  </w:r>
                </w:p>
              </w:tc>
            </w:tr>
          </w:tbl>
          <w:p w14:paraId="2A165E25" w14:textId="77777777" w:rsidR="00D72336" w:rsidRDefault="00D72336">
            <w:pPr>
              <w:pStyle w:val="Normal1"/>
            </w:pPr>
          </w:p>
        </w:tc>
      </w:tr>
    </w:tbl>
    <w:p w14:paraId="59788055" w14:textId="77777777" w:rsidR="00D72336" w:rsidRDefault="00D72336">
      <w:pPr>
        <w:pStyle w:val="Normal1"/>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196D8A2C" w14:textId="77777777">
        <w:tc>
          <w:tcPr>
            <w:tcW w:w="9360" w:type="dxa"/>
            <w:tcMar>
              <w:top w:w="43" w:type="dxa"/>
              <w:left w:w="43" w:type="dxa"/>
              <w:bottom w:w="43" w:type="dxa"/>
              <w:right w:w="43" w:type="dxa"/>
            </w:tcMar>
          </w:tcPr>
          <w:p w14:paraId="07E9FF1B" w14:textId="747F7284" w:rsidR="00FF3D86" w:rsidRDefault="001213FF" w:rsidP="00FF3D86">
            <w:pPr>
              <w:pStyle w:val="Normal1"/>
              <w:numPr>
                <w:ilvl w:val="0"/>
                <w:numId w:val="3"/>
              </w:numPr>
              <w:rPr>
                <w:b/>
              </w:rPr>
            </w:pPr>
            <w:r>
              <w:rPr>
                <w:b/>
              </w:rPr>
              <w:t xml:space="preserve">Impact on staffing: identify primary positions to be created and/or reassign time allocated to existing staff. </w:t>
            </w:r>
          </w:p>
          <w:p w14:paraId="4087EFAC" w14:textId="77777777" w:rsidR="00FF3D86" w:rsidRDefault="00FF3D86" w:rsidP="00FF3D86">
            <w:pPr>
              <w:pStyle w:val="Normal1"/>
            </w:pPr>
            <w:r>
              <w:t>Reassign Time:</w:t>
            </w:r>
          </w:p>
          <w:p w14:paraId="136745A0" w14:textId="601395A1" w:rsidR="00FF3D86" w:rsidRPr="00FF3D86" w:rsidRDefault="00FF3D86" w:rsidP="00FF3D86">
            <w:pPr>
              <w:pStyle w:val="Normal1"/>
            </w:pPr>
            <w:r>
              <w:t xml:space="preserve">Current </w:t>
            </w:r>
            <w:r w:rsidRPr="00FF3D86">
              <w:t>CDES faculty will serve as primary leaders in working with the student cohorts.</w:t>
            </w:r>
          </w:p>
          <w:p w14:paraId="76A35933" w14:textId="6A603733" w:rsidR="00D72336" w:rsidRDefault="00FF3D86">
            <w:pPr>
              <w:pStyle w:val="Normal1"/>
            </w:pPr>
            <w:r>
              <w:t>Educational Center Coordinator-identify faculty to assume this position</w:t>
            </w:r>
          </w:p>
          <w:p w14:paraId="08182AF8" w14:textId="77777777" w:rsidR="00FF3D86" w:rsidRDefault="00FF3D86">
            <w:pPr>
              <w:pStyle w:val="Normal1"/>
            </w:pPr>
            <w:r>
              <w:t>Dedicated educational careers counselor</w:t>
            </w:r>
          </w:p>
          <w:p w14:paraId="2A46AD9F" w14:textId="77777777" w:rsidR="00FF3D86" w:rsidRDefault="00FF3D86">
            <w:pPr>
              <w:pStyle w:val="Normal1"/>
            </w:pPr>
          </w:p>
          <w:p w14:paraId="22352CE9" w14:textId="6D089EB0" w:rsidR="00FF3D86" w:rsidRDefault="00FF3D86">
            <w:pPr>
              <w:pStyle w:val="Normal1"/>
            </w:pPr>
            <w:r>
              <w:t>Position Creation:</w:t>
            </w:r>
          </w:p>
          <w:p w14:paraId="08328715" w14:textId="7EBCC10B" w:rsidR="00FF3D86" w:rsidRDefault="00FF3D86">
            <w:pPr>
              <w:pStyle w:val="Normal1"/>
            </w:pPr>
            <w:r>
              <w:t>CDES office assistant position</w:t>
            </w:r>
          </w:p>
          <w:p w14:paraId="2C6D342B" w14:textId="77777777" w:rsidR="00D72336" w:rsidRDefault="00D72336">
            <w:pPr>
              <w:pStyle w:val="Normal1"/>
            </w:pPr>
          </w:p>
          <w:p w14:paraId="74772258" w14:textId="77777777" w:rsidR="00D72336" w:rsidRDefault="00D72336">
            <w:pPr>
              <w:pStyle w:val="Normal1"/>
            </w:pPr>
          </w:p>
        </w:tc>
      </w:tr>
    </w:tbl>
    <w:p w14:paraId="1A5A8BBC" w14:textId="77777777" w:rsidR="00D72336" w:rsidRDefault="00D72336">
      <w:pPr>
        <w:pStyle w:val="Normal1"/>
      </w:pPr>
    </w:p>
    <w:p w14:paraId="1EAF654B" w14:textId="77777777" w:rsidR="00D72336" w:rsidRDefault="00D72336">
      <w:pPr>
        <w:pStyle w:val="Normal1"/>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1F58F7DA" w14:textId="77777777">
        <w:tc>
          <w:tcPr>
            <w:tcW w:w="9360" w:type="dxa"/>
            <w:tcMar>
              <w:top w:w="100" w:type="dxa"/>
              <w:left w:w="100" w:type="dxa"/>
              <w:bottom w:w="100" w:type="dxa"/>
              <w:right w:w="100" w:type="dxa"/>
            </w:tcMar>
          </w:tcPr>
          <w:p w14:paraId="49CDB85A" w14:textId="77777777" w:rsidR="00D72336" w:rsidRDefault="001213FF">
            <w:pPr>
              <w:pStyle w:val="Normal1"/>
            </w:pPr>
            <w:r>
              <w:rPr>
                <w:b/>
              </w:rPr>
              <w:t>D.  Impact on space--possible displacement of existing programs and/or staff:</w:t>
            </w:r>
          </w:p>
          <w:p w14:paraId="1236917C" w14:textId="77777777" w:rsidR="00DE18AD" w:rsidRDefault="00DE18AD">
            <w:pPr>
              <w:pStyle w:val="Normal1"/>
            </w:pPr>
          </w:p>
          <w:p w14:paraId="3D4BC889" w14:textId="5FBE8647" w:rsidR="00D72336" w:rsidRDefault="00FF3D86">
            <w:pPr>
              <w:pStyle w:val="Normal1"/>
            </w:pPr>
            <w:r>
              <w:t>The current CDC can house the Educational Careers Center once the administration returns to the college center building.</w:t>
            </w:r>
          </w:p>
        </w:tc>
      </w:tr>
    </w:tbl>
    <w:p w14:paraId="332935FF" w14:textId="77777777" w:rsidR="00D72336" w:rsidRDefault="00D72336">
      <w:pPr>
        <w:pStyle w:val="Normal1"/>
      </w:pPr>
    </w:p>
    <w:p w14:paraId="4F093C45" w14:textId="77777777" w:rsidR="00D72336" w:rsidRDefault="00D72336">
      <w:pPr>
        <w:pStyle w:val="Normal1"/>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43A6E14A" w14:textId="77777777">
        <w:tc>
          <w:tcPr>
            <w:tcW w:w="9360" w:type="dxa"/>
            <w:tcMar>
              <w:top w:w="100" w:type="dxa"/>
              <w:left w:w="100" w:type="dxa"/>
              <w:bottom w:w="100" w:type="dxa"/>
              <w:right w:w="100" w:type="dxa"/>
            </w:tcMar>
          </w:tcPr>
          <w:p w14:paraId="305A0B98" w14:textId="77777777" w:rsidR="00D72336" w:rsidRDefault="001213FF">
            <w:pPr>
              <w:pStyle w:val="Normal1"/>
            </w:pPr>
            <w:r>
              <w:rPr>
                <w:b/>
              </w:rPr>
              <w:t>E. Impact on institutional budget-- 50% law, institutional matching contributions, increase/decrease in enrollments, potential for adding to ongoing costs, restricted versus unrestricted funds; requirements for expending:</w:t>
            </w:r>
          </w:p>
          <w:p w14:paraId="097B889C" w14:textId="77777777" w:rsidR="00D72336" w:rsidRDefault="00D72336">
            <w:pPr>
              <w:pStyle w:val="Normal1"/>
            </w:pPr>
          </w:p>
          <w:p w14:paraId="63347999" w14:textId="5277FFDD" w:rsidR="00D72336" w:rsidRDefault="00DE18AD">
            <w:pPr>
              <w:pStyle w:val="Normal1"/>
            </w:pPr>
            <w:r>
              <w:t>Increase in enrollments are expected.  Specifically increase in educational studies majors:  AA, AST and Certificate programs in CDES as well as AA Liberal Studies-Elementary Education Emphasis and AA Liberal Studies-Multiple Subjects.</w:t>
            </w:r>
          </w:p>
          <w:p w14:paraId="6F29D3DF" w14:textId="77777777" w:rsidR="00D72336" w:rsidRDefault="00D72336">
            <w:pPr>
              <w:pStyle w:val="Normal1"/>
            </w:pPr>
          </w:p>
          <w:p w14:paraId="32B2046E" w14:textId="77777777" w:rsidR="00D72336" w:rsidRDefault="00D72336">
            <w:pPr>
              <w:pStyle w:val="Normal1"/>
            </w:pPr>
          </w:p>
          <w:p w14:paraId="7260B185" w14:textId="77777777" w:rsidR="00D72336" w:rsidRDefault="00D72336">
            <w:pPr>
              <w:pStyle w:val="Normal1"/>
            </w:pPr>
          </w:p>
          <w:p w14:paraId="0287390D" w14:textId="77777777" w:rsidR="00D72336" w:rsidRDefault="00D72336">
            <w:pPr>
              <w:pStyle w:val="Normal1"/>
            </w:pPr>
          </w:p>
          <w:p w14:paraId="18A45369" w14:textId="77777777" w:rsidR="00D72336" w:rsidRDefault="00D72336">
            <w:pPr>
              <w:pStyle w:val="Normal1"/>
            </w:pPr>
          </w:p>
          <w:p w14:paraId="732092A6" w14:textId="77777777" w:rsidR="00D72336" w:rsidRDefault="00D72336">
            <w:pPr>
              <w:pStyle w:val="Normal1"/>
            </w:pPr>
          </w:p>
        </w:tc>
      </w:tr>
    </w:tbl>
    <w:p w14:paraId="741DBECD" w14:textId="77777777" w:rsidR="00D72336" w:rsidRDefault="00D72336">
      <w:pPr>
        <w:pStyle w:val="Normal1"/>
      </w:pPr>
    </w:p>
    <w:p w14:paraId="342DC665" w14:textId="77777777" w:rsidR="00D72336" w:rsidRDefault="00D72336">
      <w:pPr>
        <w:pStyle w:val="Normal1"/>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72336" w14:paraId="36D3DC59" w14:textId="77777777">
        <w:tc>
          <w:tcPr>
            <w:tcW w:w="9360" w:type="dxa"/>
            <w:tcMar>
              <w:top w:w="100" w:type="dxa"/>
              <w:left w:w="100" w:type="dxa"/>
              <w:bottom w:w="100" w:type="dxa"/>
              <w:right w:w="100" w:type="dxa"/>
            </w:tcMar>
          </w:tcPr>
          <w:p w14:paraId="5B20D759" w14:textId="77777777" w:rsidR="00D72336" w:rsidRDefault="001213FF">
            <w:pPr>
              <w:pStyle w:val="Normal1"/>
            </w:pPr>
            <w:r>
              <w:rPr>
                <w:b/>
              </w:rPr>
              <w:lastRenderedPageBreak/>
              <w:t xml:space="preserve">E. </w:t>
            </w:r>
            <w:r>
              <w:rPr>
                <w:sz w:val="14"/>
                <w:szCs w:val="14"/>
              </w:rPr>
              <w:t xml:space="preserve"> </w:t>
            </w:r>
            <w:r>
              <w:t>Identified Manager, Activity Director,  for Grant (beyond administration) if any:</w:t>
            </w:r>
          </w:p>
          <w:p w14:paraId="15F25630" w14:textId="26EA29A0" w:rsidR="00D72336" w:rsidRDefault="002D6839">
            <w:pPr>
              <w:pStyle w:val="Normal1"/>
            </w:pPr>
            <w:r>
              <w:t>Pat Henrickson, Lead CDES Faculty</w:t>
            </w:r>
          </w:p>
          <w:p w14:paraId="0CE135A6" w14:textId="77777777" w:rsidR="00D72336" w:rsidRDefault="00D72336">
            <w:pPr>
              <w:pStyle w:val="Normal1"/>
            </w:pPr>
          </w:p>
        </w:tc>
      </w:tr>
    </w:tbl>
    <w:p w14:paraId="78B92143" w14:textId="77777777" w:rsidR="00D72336" w:rsidRDefault="00D72336">
      <w:pPr>
        <w:pStyle w:val="Normal1"/>
      </w:pPr>
    </w:p>
    <w:p w14:paraId="713E0CDC" w14:textId="77777777" w:rsidR="00D72336" w:rsidRDefault="00D72336">
      <w:pPr>
        <w:pStyle w:val="Normal1"/>
      </w:pPr>
    </w:p>
    <w:tbl>
      <w:tblPr>
        <w:tblStyle w:val="a5"/>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D72336" w14:paraId="4000DBBF" w14:textId="77777777">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04822" w14:textId="77777777" w:rsidR="00D72336" w:rsidRDefault="001213FF">
            <w:pPr>
              <w:pStyle w:val="Normal1"/>
              <w:widowControl w:val="0"/>
            </w:pPr>
            <w:r>
              <w:rPr>
                <w:b/>
              </w:rPr>
              <w:t xml:space="preserve">F. </w:t>
            </w:r>
            <w:r>
              <w:t xml:space="preserve"> Is there an Impact on specialized categorical programs and non-categorical programs</w:t>
            </w:r>
          </w:p>
          <w:p w14:paraId="785C3610" w14:textId="77777777" w:rsidR="00D72336" w:rsidRDefault="00D72336">
            <w:pPr>
              <w:pStyle w:val="Normal1"/>
              <w:widowControl w:val="0"/>
            </w:pPr>
          </w:p>
          <w:p w14:paraId="0492EB71" w14:textId="77777777" w:rsidR="00D72336" w:rsidRDefault="00D72336">
            <w:pPr>
              <w:pStyle w:val="Normal1"/>
              <w:widowControl w:val="0"/>
            </w:pPr>
          </w:p>
          <w:p w14:paraId="135F099F" w14:textId="77777777" w:rsidR="00D72336" w:rsidRDefault="00D72336">
            <w:pPr>
              <w:pStyle w:val="Normal1"/>
              <w:widowControl w:val="0"/>
            </w:pPr>
          </w:p>
        </w:tc>
      </w:tr>
    </w:tbl>
    <w:p w14:paraId="7BFB170F" w14:textId="77777777" w:rsidR="00D72336" w:rsidRDefault="001213FF">
      <w:pPr>
        <w:pStyle w:val="Normal1"/>
      </w:pPr>
      <w:r>
        <w:t xml:space="preserve"> </w:t>
      </w:r>
    </w:p>
    <w:p w14:paraId="6AB09122" w14:textId="77777777" w:rsidR="00D72336" w:rsidRDefault="00D72336">
      <w:pPr>
        <w:pStyle w:val="Normal1"/>
      </w:pPr>
    </w:p>
    <w:p w14:paraId="12BCBAC4" w14:textId="77777777" w:rsidR="00D72336" w:rsidRDefault="00D72336">
      <w:pPr>
        <w:pStyle w:val="Normal1"/>
      </w:pPr>
    </w:p>
    <w:p w14:paraId="6D55BCE1" w14:textId="77777777" w:rsidR="00D72336" w:rsidRDefault="001213FF">
      <w:pPr>
        <w:pStyle w:val="Normal1"/>
      </w:pPr>
      <w:r>
        <w:rPr>
          <w:b/>
          <w:u w:val="single"/>
        </w:rPr>
        <w:t>Shared Governance Routing</w:t>
      </w:r>
    </w:p>
    <w:p w14:paraId="0D3BEF1D" w14:textId="77777777" w:rsidR="00D72336" w:rsidRDefault="00D72336">
      <w:pPr>
        <w:pStyle w:val="Normal1"/>
      </w:pPr>
    </w:p>
    <w:p w14:paraId="4F50EA40" w14:textId="77777777" w:rsidR="00D72336" w:rsidRDefault="001213FF">
      <w:pPr>
        <w:pStyle w:val="Normal1"/>
      </w:pPr>
      <w:r>
        <w:rPr>
          <w:i/>
        </w:rPr>
        <w:t>For Review</w:t>
      </w:r>
    </w:p>
    <w:p w14:paraId="6E37745C" w14:textId="77777777" w:rsidR="00D72336" w:rsidRDefault="001213FF">
      <w:pPr>
        <w:pStyle w:val="Normal1"/>
      </w:pPr>
      <w:r>
        <w:t xml:space="preserve">Department Chair </w:t>
      </w:r>
      <w:r w:rsidRPr="001213FF">
        <w:rPr>
          <w:color w:val="auto"/>
          <w:sz w:val="16"/>
          <w:szCs w:val="16"/>
        </w:rPr>
        <w:t>(If Applicable</w:t>
      </w:r>
      <w:proofErr w:type="gramStart"/>
      <w:r w:rsidRPr="001213FF">
        <w:rPr>
          <w:color w:val="auto"/>
          <w:sz w:val="16"/>
          <w:szCs w:val="16"/>
        </w:rPr>
        <w:t>)</w:t>
      </w:r>
      <w:r>
        <w:t xml:space="preserve"> :</w:t>
      </w:r>
      <w:proofErr w:type="gramEnd"/>
      <w:r>
        <w:t xml:space="preserve"> ____________________________  Date: _______________</w:t>
      </w:r>
    </w:p>
    <w:p w14:paraId="6077E8D4" w14:textId="77777777" w:rsidR="00D72336" w:rsidRDefault="00D72336">
      <w:pPr>
        <w:pStyle w:val="Normal1"/>
      </w:pPr>
    </w:p>
    <w:p w14:paraId="732BED25" w14:textId="47618582" w:rsidR="00D72336" w:rsidRDefault="001213FF">
      <w:pPr>
        <w:pStyle w:val="Normal1"/>
      </w:pPr>
      <w:r>
        <w:t xml:space="preserve">Division Dean or </w:t>
      </w:r>
      <w:r w:rsidRPr="001213FF">
        <w:rPr>
          <w:color w:val="auto"/>
        </w:rPr>
        <w:t xml:space="preserve">Responsible </w:t>
      </w:r>
      <w:proofErr w:type="gramStart"/>
      <w:r w:rsidRPr="001213FF">
        <w:rPr>
          <w:color w:val="auto"/>
        </w:rPr>
        <w:t>Administrator</w:t>
      </w:r>
      <w:r>
        <w:t xml:space="preserve"> :_</w:t>
      </w:r>
      <w:proofErr w:type="gramEnd"/>
      <w:r>
        <w:t xml:space="preserve">_________ </w:t>
      </w:r>
      <w:r w:rsidR="007F6E5D">
        <w:t xml:space="preserve">             </w:t>
      </w:r>
      <w:r>
        <w:t xml:space="preserve"> Date: _______________</w:t>
      </w:r>
    </w:p>
    <w:p w14:paraId="7735A65D" w14:textId="77777777" w:rsidR="00D72336" w:rsidRDefault="00D72336">
      <w:pPr>
        <w:pStyle w:val="Normal1"/>
      </w:pPr>
    </w:p>
    <w:p w14:paraId="603C3CC9" w14:textId="77777777" w:rsidR="00D72336" w:rsidRDefault="001213FF">
      <w:pPr>
        <w:pStyle w:val="Normal1"/>
      </w:pPr>
      <w:r>
        <w:t>Budget Committee Chair: _____________________________</w:t>
      </w:r>
      <w:proofErr w:type="gramStart"/>
      <w:r>
        <w:t>_  Date</w:t>
      </w:r>
      <w:proofErr w:type="gramEnd"/>
      <w:r>
        <w:t>: ________________</w:t>
      </w:r>
    </w:p>
    <w:p w14:paraId="01F4E6BB" w14:textId="77777777" w:rsidR="00D72336" w:rsidRDefault="00D72336">
      <w:pPr>
        <w:pStyle w:val="Normal1"/>
      </w:pPr>
    </w:p>
    <w:p w14:paraId="2B444324" w14:textId="77777777" w:rsidR="00D72336" w:rsidRDefault="001213FF">
      <w:pPr>
        <w:pStyle w:val="Normal1"/>
      </w:pPr>
      <w:r>
        <w:t>Academic Senate President: ____________________________ Date: ________________</w:t>
      </w:r>
    </w:p>
    <w:p w14:paraId="74D08030" w14:textId="77777777" w:rsidR="00D72336" w:rsidRDefault="00D72336">
      <w:pPr>
        <w:pStyle w:val="Normal1"/>
      </w:pPr>
    </w:p>
    <w:p w14:paraId="7DD2A68C" w14:textId="77777777" w:rsidR="00D72336" w:rsidRDefault="001213FF">
      <w:pPr>
        <w:pStyle w:val="Normal1"/>
      </w:pPr>
      <w:r>
        <w:t>President’s Council: ___________________________________ Date: ________________</w:t>
      </w:r>
    </w:p>
    <w:p w14:paraId="154C4578" w14:textId="77777777" w:rsidR="00D72336" w:rsidRDefault="00D72336">
      <w:pPr>
        <w:pStyle w:val="Normal1"/>
      </w:pPr>
    </w:p>
    <w:p w14:paraId="2A11C2C5" w14:textId="77777777" w:rsidR="00D72336" w:rsidRDefault="00D72336">
      <w:pPr>
        <w:pStyle w:val="Normal1"/>
      </w:pPr>
    </w:p>
    <w:p w14:paraId="0669BF8F" w14:textId="77777777" w:rsidR="00D72336" w:rsidRDefault="00D72336">
      <w:pPr>
        <w:pStyle w:val="Normal1"/>
      </w:pPr>
    </w:p>
    <w:p w14:paraId="21E68913" w14:textId="77777777" w:rsidR="00D72336" w:rsidRDefault="001213FF">
      <w:pPr>
        <w:pStyle w:val="Normal1"/>
      </w:pPr>
      <w:r>
        <w:rPr>
          <w:i/>
        </w:rPr>
        <w:t>For Approval</w:t>
      </w:r>
    </w:p>
    <w:p w14:paraId="24255341" w14:textId="77777777" w:rsidR="00D72336" w:rsidRDefault="001213FF">
      <w:pPr>
        <w:pStyle w:val="Normal1"/>
      </w:pPr>
      <w:r>
        <w:t>President/Superintendent: ______________________________ Date: ________________</w:t>
      </w:r>
    </w:p>
    <w:sectPr w:rsidR="00D723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30DD5" w14:textId="77777777" w:rsidR="00DE18AD" w:rsidRDefault="00DE18AD" w:rsidP="00DE18AD">
      <w:pPr>
        <w:spacing w:line="240" w:lineRule="auto"/>
      </w:pPr>
      <w:r>
        <w:separator/>
      </w:r>
    </w:p>
  </w:endnote>
  <w:endnote w:type="continuationSeparator" w:id="0">
    <w:p w14:paraId="70001B52" w14:textId="77777777" w:rsidR="00DE18AD" w:rsidRDefault="00DE18AD" w:rsidP="00DE1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48236"/>
      <w:docPartObj>
        <w:docPartGallery w:val="Page Numbers (Bottom of Page)"/>
        <w:docPartUnique/>
      </w:docPartObj>
    </w:sdtPr>
    <w:sdtEndPr>
      <w:rPr>
        <w:noProof/>
      </w:rPr>
    </w:sdtEndPr>
    <w:sdtContent>
      <w:p w14:paraId="0A7EE92F" w14:textId="264B8879" w:rsidR="00DE18AD" w:rsidRDefault="00DE18AD">
        <w:pPr>
          <w:pStyle w:val="Footer"/>
          <w:jc w:val="right"/>
        </w:pPr>
        <w:r>
          <w:fldChar w:fldCharType="begin"/>
        </w:r>
        <w:r>
          <w:instrText xml:space="preserve"> PAGE   \* MERGEFORMAT </w:instrText>
        </w:r>
        <w:r>
          <w:fldChar w:fldCharType="separate"/>
        </w:r>
        <w:r w:rsidR="006225D4">
          <w:rPr>
            <w:noProof/>
          </w:rPr>
          <w:t>1</w:t>
        </w:r>
        <w:r>
          <w:rPr>
            <w:noProof/>
          </w:rPr>
          <w:fldChar w:fldCharType="end"/>
        </w:r>
      </w:p>
    </w:sdtContent>
  </w:sdt>
  <w:p w14:paraId="299C26D9" w14:textId="77777777" w:rsidR="00DE18AD" w:rsidRDefault="00DE1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AA83B" w14:textId="77777777" w:rsidR="00DE18AD" w:rsidRDefault="00DE18AD" w:rsidP="00DE18AD">
      <w:pPr>
        <w:spacing w:line="240" w:lineRule="auto"/>
      </w:pPr>
      <w:r>
        <w:separator/>
      </w:r>
    </w:p>
  </w:footnote>
  <w:footnote w:type="continuationSeparator" w:id="0">
    <w:p w14:paraId="25F55610" w14:textId="77777777" w:rsidR="00DE18AD" w:rsidRDefault="00DE18AD" w:rsidP="00DE18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4A40"/>
    <w:multiLevelType w:val="hybridMultilevel"/>
    <w:tmpl w:val="0BF6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C112D"/>
    <w:multiLevelType w:val="hybridMultilevel"/>
    <w:tmpl w:val="D4740DE4"/>
    <w:lvl w:ilvl="0" w:tplc="1B6EAFCC">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0950A1"/>
    <w:multiLevelType w:val="hybridMultilevel"/>
    <w:tmpl w:val="83C0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36"/>
    <w:rsid w:val="001213FF"/>
    <w:rsid w:val="002D6839"/>
    <w:rsid w:val="0044351C"/>
    <w:rsid w:val="004C47AB"/>
    <w:rsid w:val="006225D4"/>
    <w:rsid w:val="006C5D03"/>
    <w:rsid w:val="007054FD"/>
    <w:rsid w:val="007F6E5D"/>
    <w:rsid w:val="00856531"/>
    <w:rsid w:val="00900AD0"/>
    <w:rsid w:val="00D72336"/>
    <w:rsid w:val="00DE18AD"/>
    <w:rsid w:val="00FF3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75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FF3D86"/>
    <w:pPr>
      <w:spacing w:line="240" w:lineRule="auto"/>
    </w:pPr>
    <w:rPr>
      <w:rFonts w:asciiTheme="minorHAnsi" w:eastAsiaTheme="minorHAnsi" w:hAnsiTheme="minorHAnsi" w:cstheme="minorBidi"/>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18AD"/>
    <w:pPr>
      <w:tabs>
        <w:tab w:val="center" w:pos="4680"/>
        <w:tab w:val="right" w:pos="9360"/>
      </w:tabs>
      <w:spacing w:line="240" w:lineRule="auto"/>
    </w:pPr>
  </w:style>
  <w:style w:type="character" w:customStyle="1" w:styleId="HeaderChar">
    <w:name w:val="Header Char"/>
    <w:basedOn w:val="DefaultParagraphFont"/>
    <w:link w:val="Header"/>
    <w:uiPriority w:val="99"/>
    <w:rsid w:val="00DE18AD"/>
  </w:style>
  <w:style w:type="paragraph" w:styleId="Footer">
    <w:name w:val="footer"/>
    <w:basedOn w:val="Normal"/>
    <w:link w:val="FooterChar"/>
    <w:uiPriority w:val="99"/>
    <w:unhideWhenUsed/>
    <w:rsid w:val="00DE18AD"/>
    <w:pPr>
      <w:tabs>
        <w:tab w:val="center" w:pos="4680"/>
        <w:tab w:val="right" w:pos="9360"/>
      </w:tabs>
      <w:spacing w:line="240" w:lineRule="auto"/>
    </w:pPr>
  </w:style>
  <w:style w:type="character" w:customStyle="1" w:styleId="FooterChar">
    <w:name w:val="Footer Char"/>
    <w:basedOn w:val="DefaultParagraphFont"/>
    <w:link w:val="Footer"/>
    <w:uiPriority w:val="99"/>
    <w:rsid w:val="00DE1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FF3D86"/>
    <w:pPr>
      <w:spacing w:line="240" w:lineRule="auto"/>
    </w:pPr>
    <w:rPr>
      <w:rFonts w:asciiTheme="minorHAnsi" w:eastAsiaTheme="minorHAnsi" w:hAnsiTheme="minorHAnsi" w:cstheme="minorBidi"/>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18AD"/>
    <w:pPr>
      <w:tabs>
        <w:tab w:val="center" w:pos="4680"/>
        <w:tab w:val="right" w:pos="9360"/>
      </w:tabs>
      <w:spacing w:line="240" w:lineRule="auto"/>
    </w:pPr>
  </w:style>
  <w:style w:type="character" w:customStyle="1" w:styleId="HeaderChar">
    <w:name w:val="Header Char"/>
    <w:basedOn w:val="DefaultParagraphFont"/>
    <w:link w:val="Header"/>
    <w:uiPriority w:val="99"/>
    <w:rsid w:val="00DE18AD"/>
  </w:style>
  <w:style w:type="paragraph" w:styleId="Footer">
    <w:name w:val="footer"/>
    <w:basedOn w:val="Normal"/>
    <w:link w:val="FooterChar"/>
    <w:uiPriority w:val="99"/>
    <w:unhideWhenUsed/>
    <w:rsid w:val="00DE18AD"/>
    <w:pPr>
      <w:tabs>
        <w:tab w:val="center" w:pos="4680"/>
        <w:tab w:val="right" w:pos="9360"/>
      </w:tabs>
      <w:spacing w:line="240" w:lineRule="auto"/>
    </w:pPr>
  </w:style>
  <w:style w:type="character" w:customStyle="1" w:styleId="FooterChar">
    <w:name w:val="Footer Char"/>
    <w:basedOn w:val="DefaultParagraphFont"/>
    <w:link w:val="Footer"/>
    <w:uiPriority w:val="99"/>
    <w:rsid w:val="00DE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AutoBVT</cp:lastModifiedBy>
  <cp:revision>2</cp:revision>
  <dcterms:created xsi:type="dcterms:W3CDTF">2017-01-31T20:54:00Z</dcterms:created>
  <dcterms:modified xsi:type="dcterms:W3CDTF">2017-01-31T20:54:00Z</dcterms:modified>
</cp:coreProperties>
</file>